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88" w:rsidRPr="002F056E" w:rsidRDefault="00626188" w:rsidP="00D8520C">
      <w:pPr>
        <w:pStyle w:val="ParaAttribute0"/>
        <w:spacing w:line="276" w:lineRule="auto"/>
        <w:ind w:firstLine="0"/>
        <w:jc w:val="both"/>
        <w:rPr>
          <w:rStyle w:val="CharAttribute1"/>
          <w:rFonts w:eastAsia="??"/>
          <w:b w:val="0"/>
          <w:sz w:val="24"/>
          <w:szCs w:val="24"/>
          <w:u w:val="none"/>
        </w:rPr>
      </w:pPr>
      <w:r>
        <w:rPr>
          <w:rStyle w:val="CharAttribute1"/>
          <w:rFonts w:eastAsia="??"/>
          <w:b w:val="0"/>
          <w:sz w:val="24"/>
          <w:szCs w:val="24"/>
          <w:u w:val="none"/>
        </w:rPr>
        <w:t>ΓΑΣΤΡΕΝΤΕΡΟΛΟΓΙΚΗ ΕΤΑΙΡΕΙΑ ΚΥΠΡΟΥ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  <w:r>
        <w:rPr>
          <w:rStyle w:val="CharAttribute1"/>
          <w:rFonts w:eastAsia="??"/>
          <w:b w:val="0"/>
          <w:sz w:val="24"/>
          <w:szCs w:val="24"/>
          <w:u w:val="none"/>
        </w:rPr>
        <w:t xml:space="preserve">                                                                                                  Λευκωσία 16/9/2014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</w:p>
    <w:p w:rsidR="00626188" w:rsidRPr="002F056E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  <w:r>
        <w:rPr>
          <w:rStyle w:val="CharAttribute1"/>
          <w:rFonts w:eastAsia="??"/>
          <w:b w:val="0"/>
          <w:sz w:val="24"/>
          <w:szCs w:val="24"/>
          <w:u w:val="none"/>
        </w:rPr>
        <w:t>Αγαπητοί συνάδελφοι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, 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</w:p>
    <w:p w:rsidR="00626188" w:rsidRPr="00D946D4" w:rsidRDefault="00626188" w:rsidP="00D8520C">
      <w:pPr>
        <w:pStyle w:val="ParaAttribute0"/>
        <w:spacing w:line="276" w:lineRule="auto"/>
        <w:ind w:firstLine="0"/>
        <w:rPr>
          <w:rStyle w:val="CharAttribute1"/>
          <w:rFonts w:eastAsia="??"/>
          <w:b w:val="0"/>
          <w:sz w:val="24"/>
          <w:szCs w:val="24"/>
          <w:u w:val="none"/>
        </w:rPr>
      </w:pPr>
      <w:r>
        <w:rPr>
          <w:rStyle w:val="CharAttribute1"/>
          <w:rFonts w:eastAsia="??"/>
          <w:b w:val="0"/>
          <w:sz w:val="24"/>
          <w:szCs w:val="24"/>
          <w:u w:val="none"/>
        </w:rPr>
        <w:t>Το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κείμενο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που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ακολουθεί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αποτελεί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τοποθέτηση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σχετικά με τη χρήση βιοπαρόμοιων φαρμάκων σε φλεγμονώδεις νόσους του εντέρου η οποία συντάχθηκε από ομάδα μελών της ΓΕΚ βάσει της συζήτησης που έγινε πρόσφατα σε συγκέντρωση της ΓΕΚ με αντικείμενο την χρήση βιοπαρόμοιων φαρμάκων σε ΙΦΝΕ.</w:t>
      </w:r>
    </w:p>
    <w:p w:rsidR="00626188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</w:p>
    <w:p w:rsidR="00626188" w:rsidRPr="00D8520C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  <w:r w:rsidRPr="00D8520C">
        <w:rPr>
          <w:rStyle w:val="CharAttribute1"/>
          <w:rFonts w:eastAsia="??"/>
          <w:sz w:val="24"/>
          <w:szCs w:val="24"/>
          <w:u w:val="single"/>
        </w:rPr>
        <w:t>Παρατήρηση Α</w:t>
      </w:r>
    </w:p>
    <w:p w:rsidR="00626188" w:rsidRDefault="00626188" w:rsidP="00800760">
      <w:pPr>
        <w:pStyle w:val="ParaAttribute0"/>
        <w:spacing w:line="276" w:lineRule="auto"/>
        <w:rPr>
          <w:rStyle w:val="CharAttribute1"/>
          <w:rFonts w:eastAsia="??"/>
          <w:b w:val="0"/>
          <w:sz w:val="24"/>
          <w:szCs w:val="24"/>
          <w:u w:val="none"/>
        </w:rPr>
      </w:pPr>
      <w:r>
        <w:rPr>
          <w:rStyle w:val="CharAttribute1"/>
          <w:rFonts w:eastAsia="??"/>
          <w:b w:val="0"/>
          <w:sz w:val="24"/>
          <w:szCs w:val="24"/>
          <w:u w:val="none"/>
        </w:rPr>
        <w:t>Καθότι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επί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του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παρόντος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δεν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υπάρχουν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στοιχεία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που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να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υποστηρίζουν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τη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χρήση των βιοπαρόμοιων φαρμάκων σε ασθενείς με φλεγμονώδεις νόσους του εντέρου, υπάρχει ένα αίσθημα δισταγμού στη χρήση τους.  Υπάρχουν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περιορι</w:t>
      </w:r>
      <w:r w:rsidRPr="00815CB0">
        <w:rPr>
          <w:rStyle w:val="CharAttribute1"/>
          <w:rFonts w:eastAsia="??"/>
          <w:b w:val="0"/>
          <w:sz w:val="24"/>
          <w:szCs w:val="24"/>
          <w:u w:val="none"/>
        </w:rPr>
        <w:t>σμ</w:t>
      </w:r>
      <w:r>
        <w:rPr>
          <w:rStyle w:val="CharAttribute1"/>
          <w:rFonts w:eastAsia="??"/>
          <w:b w:val="0"/>
          <w:sz w:val="24"/>
          <w:szCs w:val="24"/>
          <w:u w:val="none"/>
        </w:rPr>
        <w:t>ένα αποδεικτικά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στοιχεία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σχετικά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με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την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αποτελεσματικότητά τους σε ρευματο</w:t>
      </w:r>
      <w:bookmarkStart w:id="0" w:name="_GoBack"/>
      <w:bookmarkEnd w:id="0"/>
      <w:r>
        <w:rPr>
          <w:rStyle w:val="CharAttribute1"/>
          <w:rFonts w:eastAsia="??"/>
          <w:b w:val="0"/>
          <w:sz w:val="24"/>
          <w:szCs w:val="24"/>
          <w:u w:val="none"/>
        </w:rPr>
        <w:t>λογικές ασθένειες.  Επιστημονικά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,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οι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ρευματοπάθειες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πιθανόν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να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έχουν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κάποιες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ομοιότητες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με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την</w:t>
      </w:r>
      <w:r w:rsidRPr="002F056E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 xml:space="preserve">παθογένεια των φλεγμονωδών νόσων του εντέρου, ωστόσο τα πρόσφατα στοιχεία από βασικές μελέτες δείχνουν υψηλό ποσοστό ανομοιογένειας με την παθογένεια των φλεγμονωδών νόσων του εντέρου.  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Επομένως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δικαιολογημένα  υπάρχει επιφύλαξη στην χρήση των βιοπαρόμοιων φαρμάκων. Οι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γιατροί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που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συμμετέχουν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στην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αντιμετώπιση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ασθενών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με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φλεγμονώδεις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νόσους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του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εντέρου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θα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1"/>
          <w:rFonts w:eastAsia="??"/>
          <w:b w:val="0"/>
          <w:sz w:val="24"/>
          <w:szCs w:val="24"/>
          <w:u w:val="none"/>
        </w:rPr>
        <w:t>θέλουν να έχουν καλύτερες αποδείξεις υπό μορφή καλά ελεγχόμενων μελετών όταν αφορά την αποτελεσματικότητα και την ασφάλεια.</w:t>
      </w:r>
    </w:p>
    <w:p w:rsidR="00626188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</w:p>
    <w:p w:rsidR="00626188" w:rsidRPr="00D8520C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  <w:r w:rsidRPr="00D8520C">
        <w:rPr>
          <w:rStyle w:val="CharAttribute1"/>
          <w:rFonts w:eastAsia="??"/>
          <w:sz w:val="24"/>
          <w:szCs w:val="24"/>
          <w:u w:val="single"/>
        </w:rPr>
        <w:t>Παρατήρηση Β</w:t>
      </w:r>
    </w:p>
    <w:p w:rsidR="00626188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none"/>
        </w:rPr>
      </w:pPr>
      <w:r w:rsidRPr="00B8192A">
        <w:rPr>
          <w:rStyle w:val="CharAttribute1"/>
          <w:rFonts w:eastAsia="??"/>
          <w:sz w:val="24"/>
          <w:szCs w:val="24"/>
          <w:u w:val="none"/>
        </w:rPr>
        <w:t>ΚΟΣΤΟΣ:</w:t>
      </w:r>
      <w:r w:rsidRPr="00B8192A">
        <w:rPr>
          <w:rStyle w:val="CharAttribute1"/>
          <w:rFonts w:eastAsia="??"/>
          <w:b w:val="0"/>
          <w:sz w:val="24"/>
          <w:szCs w:val="24"/>
          <w:u w:val="none"/>
        </w:rPr>
        <w:t xml:space="preserve">  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Παρά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την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δύσκολη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οικονομική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περίοδο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που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διατρέχουμε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ιδιαίτερα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στα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κράτη της νοτίου Ευρώπης, εντούτοις δεν θα έπρεπε το κόστος να αποτελεί τον κυριότερο αποφασιστικό παράγοντα στην επιλογή της θεραπευτικής αγωγής.  Ως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γιατροί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δεν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θα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πρέπει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να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παρεκκλίνουμε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από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τα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υψηλά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πρότυπα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φροντίδας</w:t>
      </w:r>
      <w:r w:rsidRPr="00B8192A">
        <w:rPr>
          <w:rStyle w:val="CharAttribute3"/>
          <w:rFonts w:eastAsia="??"/>
          <w:b w:val="0"/>
          <w:sz w:val="24"/>
          <w:szCs w:val="24"/>
          <w:u w:val="none"/>
        </w:rPr>
        <w:t xml:space="preserve">,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διότι τότε προκύπτουν ζητήματα δεοντολογίας και ηθικής.</w:t>
      </w:r>
      <w:r w:rsidRPr="00D946D4">
        <w:rPr>
          <w:rStyle w:val="CharAttribute1"/>
          <w:rFonts w:eastAsia="??"/>
          <w:sz w:val="24"/>
          <w:szCs w:val="24"/>
          <w:u w:val="none"/>
        </w:rPr>
        <w:t xml:space="preserve"> </w:t>
      </w:r>
    </w:p>
    <w:p w:rsidR="00626188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</w:p>
    <w:p w:rsidR="00626188" w:rsidRPr="00D8520C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  <w:r w:rsidRPr="00D8520C">
        <w:rPr>
          <w:rStyle w:val="CharAttribute1"/>
          <w:rFonts w:eastAsia="??"/>
          <w:sz w:val="24"/>
          <w:szCs w:val="24"/>
          <w:u w:val="single"/>
        </w:rPr>
        <w:t>Παρατήρηση Γ</w:t>
      </w:r>
    </w:p>
    <w:p w:rsidR="00626188" w:rsidRDefault="00626188" w:rsidP="00D946D4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  <w:r>
        <w:rPr>
          <w:rStyle w:val="CharAttribute3"/>
          <w:rFonts w:eastAsia="??"/>
          <w:sz w:val="24"/>
          <w:szCs w:val="24"/>
          <w:u w:val="none"/>
        </w:rPr>
        <w:t>ΠΑΙΔΙΑΤΡΙΚΟΙ</w:t>
      </w:r>
      <w:r w:rsidRPr="000A3F89">
        <w:rPr>
          <w:rStyle w:val="CharAttribute3"/>
          <w:rFonts w:eastAsia="??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sz w:val="24"/>
          <w:szCs w:val="24"/>
          <w:u w:val="none"/>
        </w:rPr>
        <w:t>ΑΣΘΕΝΕΙΣ</w:t>
      </w:r>
      <w:r w:rsidRPr="000A3F89">
        <w:rPr>
          <w:rStyle w:val="CharAttribute3"/>
          <w:rFonts w:eastAsia="??"/>
          <w:sz w:val="24"/>
          <w:szCs w:val="24"/>
          <w:u w:val="none"/>
        </w:rPr>
        <w:t>: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Αυτό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το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θέμα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θα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πρέπει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να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αναβληθεί μέχρι να προκύψουν περαιτέρω αποδεικτικά στοιχεία σχετικά με την ασφάλεια. Επί του παρόντος δεν συνιστάται η χρήση σε Παιδιατρικούς ασθενείς.</w:t>
      </w:r>
    </w:p>
    <w:p w:rsidR="00626188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</w:p>
    <w:p w:rsidR="00626188" w:rsidRPr="00D8520C" w:rsidRDefault="00626188" w:rsidP="00D946D4">
      <w:pPr>
        <w:pStyle w:val="ParaAttribute0"/>
        <w:spacing w:line="276" w:lineRule="auto"/>
        <w:ind w:firstLine="0"/>
        <w:rPr>
          <w:rStyle w:val="CharAttribute1"/>
          <w:rFonts w:eastAsia="??"/>
          <w:sz w:val="24"/>
          <w:szCs w:val="24"/>
          <w:u w:val="single"/>
        </w:rPr>
      </w:pPr>
      <w:r w:rsidRPr="00D8520C">
        <w:rPr>
          <w:rStyle w:val="CharAttribute1"/>
          <w:rFonts w:eastAsia="??"/>
          <w:sz w:val="24"/>
          <w:szCs w:val="24"/>
          <w:u w:val="single"/>
        </w:rPr>
        <w:t>Παρατήρηση Δ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sz w:val="24"/>
          <w:szCs w:val="24"/>
          <w:u w:val="none"/>
        </w:rPr>
      </w:pPr>
      <w:r>
        <w:rPr>
          <w:rStyle w:val="CharAttribute3"/>
          <w:rFonts w:eastAsia="??"/>
          <w:sz w:val="24"/>
          <w:szCs w:val="24"/>
          <w:u w:val="none"/>
        </w:rPr>
        <w:t>ΑΝΤΑΛΛΑΞΙΜΟΤΗΤΑ ΚΑΙ ΥΠΟΚΑΤΑΣΤΑΣΗ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  <w:r>
        <w:rPr>
          <w:rStyle w:val="CharAttribute3"/>
          <w:rFonts w:eastAsia="??"/>
          <w:b w:val="0"/>
          <w:sz w:val="24"/>
          <w:szCs w:val="24"/>
          <w:u w:val="none"/>
        </w:rPr>
        <w:t>Στους υφιστάμενους ασθενείς που λαμβάνουν πρωτότυπα φάρμακα δεν θα πρέπει να γίνεται αλλαγή στην αγωγή με βιοπαρόμοια φάρμακα λόγω του κινδύνου ανοσογονικότητας και επακόλουθης ασφάλειας.</w:t>
      </w:r>
    </w:p>
    <w:p w:rsidR="00626188" w:rsidRPr="00D8520C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  <w:r>
        <w:rPr>
          <w:rStyle w:val="CharAttribute3"/>
          <w:rFonts w:eastAsia="??"/>
          <w:b w:val="0"/>
          <w:sz w:val="24"/>
          <w:szCs w:val="24"/>
          <w:u w:val="none"/>
        </w:rPr>
        <w:t>Η χορήγηση τους σαν πρώτη γραμμή θεραπείας θα πραγματοποιείται μετά από λεπτομερή ενημέρωση του ασθενούς με συναινετικό χαρακτήρα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  <w:r>
        <w:rPr>
          <w:rStyle w:val="CharAttribute3"/>
          <w:rFonts w:eastAsia="??"/>
          <w:b w:val="0"/>
          <w:sz w:val="24"/>
          <w:szCs w:val="24"/>
          <w:u w:val="none"/>
        </w:rPr>
        <w:t>Τέλος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,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για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σκοπούς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διασφάλισης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της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ποιότητας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,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θα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πρέπει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να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συγκεντρωθούν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δεδομένα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μετά την κυκλοφορία του προϊόντος στην αγορά.  Αυτή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η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διαδικασία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θα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επιτρέψει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τη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συλλογή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στοιχείων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για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την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αξιολόγηση της ασφάλειας.  Θα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πρέπει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να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θεσπιστεί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ένα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μητρώο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για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την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μελλοντική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>παρακολούθηση</w:t>
      </w:r>
      <w:r w:rsidRPr="000A3F89">
        <w:rPr>
          <w:rStyle w:val="CharAttribute3"/>
          <w:rFonts w:eastAsia="??"/>
          <w:b w:val="0"/>
          <w:sz w:val="24"/>
          <w:szCs w:val="24"/>
          <w:u w:val="none"/>
        </w:rPr>
        <w:t xml:space="preserve"> </w:t>
      </w:r>
      <w:r>
        <w:rPr>
          <w:rStyle w:val="CharAttribute3"/>
          <w:rFonts w:eastAsia="??"/>
          <w:b w:val="0"/>
          <w:sz w:val="24"/>
          <w:szCs w:val="24"/>
          <w:u w:val="none"/>
        </w:rPr>
        <w:t xml:space="preserve">πιθανών ανεπιθύμητων ενεργειών.  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</w:p>
    <w:p w:rsidR="00626188" w:rsidRPr="003134BA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  <w:r>
        <w:rPr>
          <w:rStyle w:val="CharAttribute3"/>
          <w:rFonts w:eastAsia="??"/>
          <w:b w:val="0"/>
          <w:sz w:val="24"/>
          <w:szCs w:val="24"/>
          <w:u w:val="none"/>
        </w:rPr>
        <w:t>Δρ Γιώργος Ποταμίτης                                                     Δρ Ανδρέας Ευγενίου</w:t>
      </w:r>
    </w:p>
    <w:p w:rsidR="00626188" w:rsidRPr="00D8520C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  <w:r>
        <w:rPr>
          <w:rStyle w:val="CharAttribute3"/>
          <w:rFonts w:eastAsia="??"/>
          <w:b w:val="0"/>
          <w:sz w:val="24"/>
          <w:szCs w:val="24"/>
          <w:u w:val="none"/>
        </w:rPr>
        <w:t>Πρόεδρος                                                                              Γραμματέας</w:t>
      </w:r>
    </w:p>
    <w:p w:rsidR="00626188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</w:p>
    <w:p w:rsidR="00626188" w:rsidRPr="003A3562" w:rsidRDefault="00626188" w:rsidP="00D8520C">
      <w:pPr>
        <w:pStyle w:val="ParaAttribute0"/>
        <w:spacing w:line="276" w:lineRule="auto"/>
        <w:ind w:firstLine="0"/>
        <w:rPr>
          <w:rStyle w:val="CharAttribute3"/>
          <w:rFonts w:eastAsia="??"/>
          <w:b w:val="0"/>
          <w:sz w:val="24"/>
          <w:szCs w:val="24"/>
          <w:u w:val="none"/>
        </w:rPr>
      </w:pPr>
    </w:p>
    <w:p w:rsidR="00626188" w:rsidRPr="003A3562" w:rsidRDefault="00626188" w:rsidP="00800760">
      <w:pPr>
        <w:pStyle w:val="ParaAttribute0"/>
        <w:spacing w:line="276" w:lineRule="auto"/>
        <w:rPr>
          <w:rStyle w:val="CharAttribute3"/>
          <w:rFonts w:eastAsia="??"/>
          <w:b w:val="0"/>
          <w:sz w:val="24"/>
          <w:szCs w:val="24"/>
          <w:u w:val="none"/>
        </w:rPr>
      </w:pPr>
    </w:p>
    <w:p w:rsidR="00626188" w:rsidRPr="003A3562" w:rsidRDefault="00626188" w:rsidP="00800760">
      <w:pPr>
        <w:pStyle w:val="ParaAttribute1"/>
        <w:spacing w:line="276" w:lineRule="auto"/>
        <w:ind w:firstLine="0"/>
        <w:rPr>
          <w:sz w:val="24"/>
          <w:szCs w:val="24"/>
        </w:rPr>
      </w:pPr>
    </w:p>
    <w:sectPr w:rsidR="00626188" w:rsidRPr="003A3562" w:rsidSect="007176B8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B8"/>
    <w:rsid w:val="0003536B"/>
    <w:rsid w:val="00056388"/>
    <w:rsid w:val="0007118C"/>
    <w:rsid w:val="000A10B9"/>
    <w:rsid w:val="000A3F89"/>
    <w:rsid w:val="00163FEA"/>
    <w:rsid w:val="001931FC"/>
    <w:rsid w:val="001946DC"/>
    <w:rsid w:val="001E79F3"/>
    <w:rsid w:val="002F056E"/>
    <w:rsid w:val="003134BA"/>
    <w:rsid w:val="003A1EB8"/>
    <w:rsid w:val="003A3562"/>
    <w:rsid w:val="003B7C78"/>
    <w:rsid w:val="003E4DE1"/>
    <w:rsid w:val="004506CA"/>
    <w:rsid w:val="004768A6"/>
    <w:rsid w:val="00585E6B"/>
    <w:rsid w:val="00626188"/>
    <w:rsid w:val="007176B8"/>
    <w:rsid w:val="007B56D6"/>
    <w:rsid w:val="00800760"/>
    <w:rsid w:val="00811DFC"/>
    <w:rsid w:val="00815CB0"/>
    <w:rsid w:val="00861211"/>
    <w:rsid w:val="008C794B"/>
    <w:rsid w:val="00986E02"/>
    <w:rsid w:val="00A91036"/>
    <w:rsid w:val="00B8192A"/>
    <w:rsid w:val="00BB1C68"/>
    <w:rsid w:val="00BD5EA9"/>
    <w:rsid w:val="00C4654B"/>
    <w:rsid w:val="00C93387"/>
    <w:rsid w:val="00C96FD9"/>
    <w:rsid w:val="00CD426C"/>
    <w:rsid w:val="00D8520C"/>
    <w:rsid w:val="00D946D4"/>
    <w:rsid w:val="00DD615C"/>
    <w:rsid w:val="00DE4367"/>
    <w:rsid w:val="00E51430"/>
    <w:rsid w:val="00E876BE"/>
    <w:rsid w:val="00F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B8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7176B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7176B8"/>
    <w:pPr>
      <w:widowControl w:val="0"/>
      <w:ind w:firstLine="160"/>
    </w:pPr>
    <w:rPr>
      <w:sz w:val="20"/>
      <w:szCs w:val="20"/>
    </w:rPr>
  </w:style>
  <w:style w:type="paragraph" w:customStyle="1" w:styleId="ParaAttribute1">
    <w:name w:val="ParaAttribute1"/>
    <w:uiPriority w:val="99"/>
    <w:rsid w:val="007176B8"/>
    <w:pPr>
      <w:widowControl w:val="0"/>
      <w:ind w:firstLine="160"/>
    </w:pPr>
    <w:rPr>
      <w:sz w:val="20"/>
      <w:szCs w:val="20"/>
    </w:rPr>
  </w:style>
  <w:style w:type="paragraph" w:customStyle="1" w:styleId="ParaAttribute2">
    <w:name w:val="ParaAttribute2"/>
    <w:uiPriority w:val="99"/>
    <w:rsid w:val="007176B8"/>
    <w:pPr>
      <w:widowControl w:val="0"/>
    </w:pPr>
    <w:rPr>
      <w:sz w:val="20"/>
      <w:szCs w:val="20"/>
    </w:rPr>
  </w:style>
  <w:style w:type="paragraph" w:customStyle="1" w:styleId="ParaAttribute3">
    <w:name w:val="ParaAttribute3"/>
    <w:uiPriority w:val="99"/>
    <w:rsid w:val="007176B8"/>
    <w:pPr>
      <w:widowControl w:val="0"/>
    </w:pPr>
    <w:rPr>
      <w:sz w:val="20"/>
      <w:szCs w:val="20"/>
    </w:rPr>
  </w:style>
  <w:style w:type="paragraph" w:customStyle="1" w:styleId="ParaAttribute4">
    <w:name w:val="ParaAttribute4"/>
    <w:uiPriority w:val="99"/>
    <w:rsid w:val="007176B8"/>
    <w:pPr>
      <w:widowControl w:val="0"/>
    </w:pPr>
    <w:rPr>
      <w:sz w:val="20"/>
      <w:szCs w:val="20"/>
    </w:rPr>
  </w:style>
  <w:style w:type="paragraph" w:customStyle="1" w:styleId="ParaAttribute5">
    <w:name w:val="ParaAttribute5"/>
    <w:uiPriority w:val="99"/>
    <w:rsid w:val="007176B8"/>
    <w:pPr>
      <w:widowControl w:val="0"/>
    </w:pPr>
    <w:rPr>
      <w:sz w:val="20"/>
      <w:szCs w:val="20"/>
    </w:rPr>
  </w:style>
  <w:style w:type="paragraph" w:customStyle="1" w:styleId="ParaAttribute6">
    <w:name w:val="ParaAttribute6"/>
    <w:uiPriority w:val="99"/>
    <w:rsid w:val="007176B8"/>
    <w:pPr>
      <w:widowControl w:val="0"/>
    </w:pPr>
    <w:rPr>
      <w:sz w:val="20"/>
      <w:szCs w:val="20"/>
    </w:rPr>
  </w:style>
  <w:style w:type="paragraph" w:customStyle="1" w:styleId="ParaAttribute7">
    <w:name w:val="ParaAttribute7"/>
    <w:uiPriority w:val="99"/>
    <w:rsid w:val="007176B8"/>
    <w:pPr>
      <w:widowControl w:val="0"/>
    </w:pPr>
    <w:rPr>
      <w:sz w:val="20"/>
      <w:szCs w:val="20"/>
    </w:rPr>
  </w:style>
  <w:style w:type="character" w:customStyle="1" w:styleId="CharAttribute0">
    <w:name w:val="CharAttribute0"/>
    <w:uiPriority w:val="99"/>
    <w:rsid w:val="007176B8"/>
    <w:rPr>
      <w:rFonts w:ascii="Times New Roman" w:eastAsia="Times New Roman"/>
      <w:b/>
      <w:sz w:val="40"/>
    </w:rPr>
  </w:style>
  <w:style w:type="character" w:customStyle="1" w:styleId="CharAttribute1">
    <w:name w:val="CharAttribute1"/>
    <w:uiPriority w:val="99"/>
    <w:rsid w:val="007176B8"/>
    <w:rPr>
      <w:rFonts w:ascii="Times New Roman" w:eastAsia="Times New Roman"/>
      <w:b/>
      <w:sz w:val="32"/>
      <w:u w:val="double"/>
    </w:rPr>
  </w:style>
  <w:style w:type="character" w:customStyle="1" w:styleId="CharAttribute2">
    <w:name w:val="CharAttribute2"/>
    <w:uiPriority w:val="99"/>
    <w:rsid w:val="007176B8"/>
    <w:rPr>
      <w:rFonts w:ascii="Times New Roman" w:eastAsia="Times New Roman"/>
      <w:b/>
      <w:sz w:val="48"/>
      <w:u w:val="double"/>
    </w:rPr>
  </w:style>
  <w:style w:type="character" w:customStyle="1" w:styleId="CharAttribute3">
    <w:name w:val="CharAttribute3"/>
    <w:uiPriority w:val="99"/>
    <w:rsid w:val="007176B8"/>
    <w:rPr>
      <w:rFonts w:ascii="Times New Roman" w:eastAsia="Times New Roman"/>
      <w:b/>
      <w:sz w:val="40"/>
      <w:u w:val="double"/>
    </w:rPr>
  </w:style>
  <w:style w:type="character" w:customStyle="1" w:styleId="CharAttribute4">
    <w:name w:val="CharAttribute4"/>
    <w:uiPriority w:val="99"/>
    <w:rsid w:val="007176B8"/>
    <w:rPr>
      <w:rFonts w:ascii="Tahoma" w:eastAsia="Times New Roman"/>
      <w:b/>
      <w:sz w:val="40"/>
    </w:rPr>
  </w:style>
  <w:style w:type="character" w:customStyle="1" w:styleId="CharAttribute5">
    <w:name w:val="CharAttribute5"/>
    <w:uiPriority w:val="99"/>
    <w:rsid w:val="007176B8"/>
    <w:rPr>
      <w:rFonts w:ascii="Times New Roman" w:eastAsia="Times New Roman"/>
      <w:b/>
      <w:sz w:val="32"/>
      <w:u w:val="double"/>
    </w:rPr>
  </w:style>
  <w:style w:type="character" w:customStyle="1" w:styleId="CharAttribute6">
    <w:name w:val="CharAttribute6"/>
    <w:uiPriority w:val="99"/>
    <w:rsid w:val="007176B8"/>
    <w:rPr>
      <w:rFonts w:ascii="Times New Roman" w:eastAsia="Times New Roman"/>
      <w:b/>
      <w:sz w:val="40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438</Words>
  <Characters>2366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gastro</dc:creator>
  <cp:keywords/>
  <dc:description/>
  <cp:lastModifiedBy>user</cp:lastModifiedBy>
  <cp:revision>9</cp:revision>
  <dcterms:created xsi:type="dcterms:W3CDTF">2014-09-03T12:30:00Z</dcterms:created>
  <dcterms:modified xsi:type="dcterms:W3CDTF">2014-09-30T05:42:00Z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1435142447</vt:i4>
  </property>
  <property fmtid="{D5CDD505-2E9C-101B-9397-08002B2CF9AE}" pid="3" name="_NewReviewCycle">
    <vt:lpwstr/>
  </property>
  <property fmtid="{D5CDD505-2E9C-101B-9397-08002B2CF9AE}" pid="4" name="_EmailSubject">
    <vt:lpwstr>Biosimilar-1</vt:lpwstr>
  </property>
  <property fmtid="{D5CDD505-2E9C-101B-9397-08002B2CF9AE}" pid="5" name="_AuthorEmail">
    <vt:lpwstr>andreas_yerasimou@merck.com</vt:lpwstr>
  </property>
  <property fmtid="{D5CDD505-2E9C-101B-9397-08002B2CF9AE}" pid="6" name="_AuthorEmailDisplayName">
    <vt:lpwstr>Yerasimou, Andreas</vt:lpwstr>
  </property>
  <property fmtid="{D5CDD505-2E9C-101B-9397-08002B2CF9AE}" pid="7" name="_PreviousAdHocReviewCycleID">
    <vt:i4>394314763</vt:i4>
  </property>
  <property fmtid="{D5CDD505-2E9C-101B-9397-08002B2CF9AE}" pid="8" name="_ReviewingToolsShownOnce">
    <vt:lpwstr/>
  </property>
</Properties>
</file>